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205342">
                <w:r>
                  <w:t>Phil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205342">
                <w:r>
                  <w:t>Burnett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205342">
                <w:r>
                  <w:t>99 Winding Road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E6428B" w:rsidP="00E6428B">
                <w:r>
                  <w:t>Greene City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205342">
                <w:r>
                  <w:t>555-35</w:t>
                </w:r>
                <w:r w:rsidR="00E6428B">
                  <w:t>7</w:t>
                </w:r>
                <w:r w:rsidR="00166851">
                  <w:t>-</w:t>
                </w:r>
                <w:r>
                  <w:t>3</w:t>
                </w:r>
                <w:r w:rsidR="00E6428B">
                  <w:t>5</w:t>
                </w:r>
                <w:r>
                  <w:t>37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E6428B">
                <w:proofErr w:type="spellStart"/>
                <w:r>
                  <w:t>pburnett</w:t>
                </w:r>
                <w:r w:rsidR="006F3255">
                  <w:t>@</w:t>
                </w:r>
                <w:r>
                  <w:t>hollowgrinder</w:t>
                </w:r>
                <w:r w:rsidR="00166851">
                  <w:t>.example</w:t>
                </w:r>
                <w:proofErr w:type="spellEnd"/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205342" w:rsidP="00E6428B">
                <w:r>
                  <w:t>100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showingPlcHdr/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E6428B" w:rsidP="00166851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205342" w:rsidP="007748F6">
                <w:r>
                  <w:t>Eastern King County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166851"/>
    <w:rsid w:val="00205342"/>
    <w:rsid w:val="00214D92"/>
    <w:rsid w:val="002A5545"/>
    <w:rsid w:val="00322E65"/>
    <w:rsid w:val="00367E44"/>
    <w:rsid w:val="003A24E9"/>
    <w:rsid w:val="003E76FF"/>
    <w:rsid w:val="00641B13"/>
    <w:rsid w:val="006F3255"/>
    <w:rsid w:val="00750B54"/>
    <w:rsid w:val="008A123C"/>
    <w:rsid w:val="00931E13"/>
    <w:rsid w:val="00956A31"/>
    <w:rsid w:val="00993E41"/>
    <w:rsid w:val="009C49B5"/>
    <w:rsid w:val="009F6013"/>
    <w:rsid w:val="00BF128D"/>
    <w:rsid w:val="00C31A5F"/>
    <w:rsid w:val="00CD6C90"/>
    <w:rsid w:val="00D07D92"/>
    <w:rsid w:val="00D2238E"/>
    <w:rsid w:val="00E6428B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68927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55B72" w:rsidRDefault="00D16EED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55B72" w:rsidRDefault="00D16EED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55B72" w:rsidRDefault="00D16EED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55B72" w:rsidRDefault="00D16EED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55B72" w:rsidRDefault="00D16EED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55B72" w:rsidRDefault="00D16EED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55B72" w:rsidRDefault="00D16EED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55B72" w:rsidRDefault="00D16EED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55B72" w:rsidRDefault="00D16EED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55B72" w:rsidRDefault="00D16EED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ED"/>
    <w:rsid w:val="00055B72"/>
    <w:rsid w:val="00877FBF"/>
    <w:rsid w:val="00D1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2BCD2-A9BE-48D1-82E8-8C1285E51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3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Brian S. Wilson</cp:lastModifiedBy>
  <cp:revision>3</cp:revision>
  <dcterms:created xsi:type="dcterms:W3CDTF">2015-10-05T20:08:00Z</dcterms:created>
  <dcterms:modified xsi:type="dcterms:W3CDTF">2015-10-05T20:12:00Z</dcterms:modified>
</cp:coreProperties>
</file>